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pageBreakBefore/>
        <w:numPr>
          <w:ilvl w:val="0"/>
          <w:numId w:val="2"/>
        </w:numPr>
        <w:tabs>
          <w:tab w:val="left" w:pos="432"/>
        </w:tabs>
        <w:spacing w:afterLines="5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各业务部门</w:t>
      </w:r>
    </w:p>
    <w:p>
      <w:pPr>
        <w:pStyle w:val="3"/>
        <w:numPr>
          <w:ilvl w:val="1"/>
          <w:numId w:val="2"/>
        </w:numPr>
        <w:tabs>
          <w:tab w:val="left" w:pos="756"/>
        </w:tabs>
        <w:spacing w:afterLines="50" w:line="416" w:lineRule="auto"/>
        <w:jc w:val="both"/>
      </w:pPr>
      <w:bookmarkStart w:id="0" w:name="_Toc385403566"/>
      <w:r>
        <w:rPr>
          <w:rFonts w:hint="eastAsia"/>
        </w:rPr>
        <w:t>首页</w:t>
      </w:r>
      <w:bookmarkEnd w:id="0"/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院系团委</w:t>
      </w:r>
      <w:r>
        <w:rPr>
          <w:rFonts w:hint="eastAsia"/>
          <w:sz w:val="24"/>
          <w:szCs w:val="24"/>
        </w:rPr>
        <w:t>登录系统出现首页界面，如下图：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633595" cy="6579870"/>
            <wp:effectExtent l="0" t="0" r="1460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3595" cy="657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7"/>
        <w:ind w:firstLine="3240" w:firstLineChars="1800"/>
        <w:rPr>
          <w:sz w:val="18"/>
          <w:szCs w:val="18"/>
        </w:rPr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sz w:val="18"/>
          <w:szCs w:val="18"/>
        </w:rPr>
        <w:fldChar w:fldCharType="begin"/>
      </w:r>
      <w:r>
        <w:rPr>
          <w:rFonts w:hint="eastAsia"/>
          <w:sz w:val="18"/>
          <w:szCs w:val="18"/>
        </w:rPr>
        <w:instrText xml:space="preserve">SEQ 图表 \* ARABIC \s 1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t>1</w:t>
      </w:r>
      <w:r>
        <w:rPr>
          <w:sz w:val="18"/>
          <w:szCs w:val="18"/>
        </w:rPr>
        <w:fldChar w:fldCharType="end"/>
      </w:r>
      <w:r>
        <w:rPr>
          <w:rFonts w:hint="eastAsia"/>
          <w:sz w:val="18"/>
          <w:szCs w:val="18"/>
          <w:lang w:eastAsia="zh-CN"/>
        </w:rPr>
        <w:t>党委</w:t>
      </w:r>
      <w:r>
        <w:rPr>
          <w:rFonts w:hint="eastAsia"/>
          <w:sz w:val="18"/>
          <w:szCs w:val="18"/>
        </w:rPr>
        <w:t>首页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展示的数据依次为个人基本信息（包括姓名、部门），公告栏（点击【</w:t>
      </w:r>
      <w:r>
        <w:rPr>
          <w:rFonts w:hint="eastAsia"/>
          <w:sz w:val="24"/>
          <w:szCs w:val="24"/>
        </w:rPr>
        <w:drawing>
          <wp:inline distT="0" distB="0" distL="0" distR="0">
            <wp:extent cx="428625" cy="1905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】，页面可跳转到离校公告页面，点击子标题可跳到该标题内容页面），院系离校排行榜，</w:t>
      </w:r>
      <w:r>
        <w:rPr>
          <w:sz w:val="24"/>
          <w:szCs w:val="24"/>
        </w:rPr>
        <w:t>招就处通过人数统计</w:t>
      </w:r>
      <w:r>
        <w:rPr>
          <w:rFonts w:hint="eastAsia"/>
          <w:sz w:val="24"/>
          <w:szCs w:val="24"/>
        </w:rPr>
        <w:t>报表，</w:t>
      </w:r>
      <w:r>
        <w:rPr>
          <w:sz w:val="24"/>
          <w:szCs w:val="24"/>
        </w:rPr>
        <w:t>各部门通过人数统计</w:t>
      </w:r>
      <w:r>
        <w:rPr>
          <w:rFonts w:hint="eastAsia"/>
          <w:sz w:val="24"/>
          <w:szCs w:val="24"/>
        </w:rPr>
        <w:t>报表、</w:t>
      </w:r>
      <w:r>
        <w:rPr>
          <w:sz w:val="24"/>
          <w:szCs w:val="24"/>
        </w:rPr>
        <w:t>各院系离校人数统计</w:t>
      </w:r>
      <w:r>
        <w:rPr>
          <w:rFonts w:hint="eastAsia"/>
          <w:sz w:val="24"/>
          <w:szCs w:val="24"/>
        </w:rPr>
        <w:t>报表。</w:t>
      </w:r>
    </w:p>
    <w:p>
      <w:pPr>
        <w:pStyle w:val="3"/>
        <w:numPr>
          <w:ilvl w:val="1"/>
          <w:numId w:val="2"/>
        </w:numPr>
        <w:tabs>
          <w:tab w:val="left" w:pos="756"/>
        </w:tabs>
        <w:spacing w:afterLines="50" w:line="416" w:lineRule="auto"/>
        <w:jc w:val="both"/>
      </w:pPr>
      <w:r>
        <w:rPr>
          <w:rFonts w:hint="eastAsia"/>
          <w:lang w:eastAsia="zh-CN"/>
        </w:rPr>
        <w:t>团组织迁移审核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点击【</w:t>
      </w:r>
      <w:r>
        <w:drawing>
          <wp:inline distT="0" distB="0" distL="114300" distR="114300">
            <wp:extent cx="1333500" cy="419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】菜单，进入</w:t>
      </w:r>
      <w:r>
        <w:rPr>
          <w:rFonts w:hint="eastAsia"/>
          <w:sz w:val="24"/>
          <w:szCs w:val="24"/>
          <w:lang w:eastAsia="zh-CN"/>
        </w:rPr>
        <w:t>团组织关系</w:t>
      </w:r>
      <w:r>
        <w:rPr>
          <w:rFonts w:hint="eastAsia"/>
          <w:sz w:val="24"/>
          <w:szCs w:val="24"/>
        </w:rPr>
        <w:t>办理页面，如下图：</w:t>
      </w:r>
    </w:p>
    <w:p>
      <w:pPr>
        <w:jc w:val="center"/>
        <w:rPr>
          <w:sz w:val="24"/>
          <w:szCs w:val="24"/>
        </w:rPr>
      </w:pPr>
      <w:r>
        <w:drawing>
          <wp:inline distT="0" distB="0" distL="114300" distR="114300">
            <wp:extent cx="5271770" cy="2404110"/>
            <wp:effectExtent l="0" t="0" r="5080" b="152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0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  <w:lang w:eastAsia="zh-CN"/>
        </w:rPr>
        <w:t>党组织迁移审核</w:t>
      </w:r>
    </w:p>
    <w:p>
      <w:pPr>
        <w:jc w:val="both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进入页面可看到【</w:t>
      </w:r>
      <w:r>
        <w:drawing>
          <wp:inline distT="0" distB="0" distL="114300" distR="114300">
            <wp:extent cx="466725" cy="2571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18"/>
          <w:szCs w:val="18"/>
          <w:lang w:eastAsia="zh-CN"/>
        </w:rPr>
        <w:t>】菜单，可查询学生姓名、学号、审核状态、处理状态，点击【</w:t>
      </w:r>
      <w:r>
        <w:drawing>
          <wp:inline distT="0" distB="0" distL="114300" distR="114300">
            <wp:extent cx="419100" cy="2381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18"/>
          <w:szCs w:val="18"/>
          <w:lang w:eastAsia="zh-CN"/>
        </w:rPr>
        <w:t>】菜单，出现下图科目内容：</w:t>
      </w:r>
    </w:p>
    <w:p>
      <w:pPr>
        <w:jc w:val="center"/>
      </w:pPr>
      <w:r>
        <w:drawing>
          <wp:inline distT="0" distB="0" distL="114300" distR="114300">
            <wp:extent cx="3352800" cy="2246630"/>
            <wp:effectExtent l="0" t="0" r="0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24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  <w:lang w:val="en-US" w:eastAsia="zh-CN"/>
        </w:rPr>
        <w:t xml:space="preserve">3 </w:t>
      </w:r>
      <w:r>
        <w:rPr>
          <w:rFonts w:hint="eastAsia"/>
          <w:sz w:val="18"/>
          <w:szCs w:val="18"/>
          <w:lang w:eastAsia="zh-CN"/>
        </w:rPr>
        <w:t>团组织关系</w:t>
      </w:r>
      <w:r>
        <w:rPr>
          <w:rFonts w:hint="eastAsia"/>
          <w:sz w:val="18"/>
          <w:szCs w:val="18"/>
        </w:rPr>
        <w:t>办理</w:t>
      </w:r>
    </w:p>
    <w:p>
      <w:pPr>
        <w:jc w:val="center"/>
        <w:rPr>
          <w:rFonts w:hint="eastAsia"/>
          <w:lang w:eastAsia="zh-CN"/>
        </w:rPr>
      </w:pPr>
    </w:p>
    <w:p>
      <w:pPr>
        <w:jc w:val="both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点击【</w:t>
      </w:r>
      <w:r>
        <w:drawing>
          <wp:inline distT="0" distB="0" distL="114300" distR="114300">
            <wp:extent cx="409575" cy="24765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18"/>
          <w:szCs w:val="18"/>
          <w:lang w:eastAsia="zh-CN"/>
        </w:rPr>
        <w:t>】按钮，如下图：</w:t>
      </w:r>
    </w:p>
    <w:p>
      <w:pPr>
        <w:jc w:val="center"/>
      </w:pPr>
      <w:r>
        <w:drawing>
          <wp:inline distT="0" distB="0" distL="114300" distR="114300">
            <wp:extent cx="4066540" cy="2679065"/>
            <wp:effectExtent l="0" t="0" r="10160" b="698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6540" cy="267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  <w:lang w:val="en-US" w:eastAsia="zh-CN"/>
        </w:rPr>
        <w:t xml:space="preserve">4 </w:t>
      </w:r>
      <w:r>
        <w:rPr>
          <w:rFonts w:hint="eastAsia"/>
          <w:sz w:val="18"/>
          <w:szCs w:val="18"/>
          <w:lang w:eastAsia="zh-CN"/>
        </w:rPr>
        <w:t>团组织关系</w:t>
      </w:r>
      <w:r>
        <w:rPr>
          <w:rFonts w:hint="eastAsia"/>
          <w:sz w:val="18"/>
          <w:szCs w:val="18"/>
        </w:rPr>
        <w:t>办理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当办理成功后，办理按钮成灰色，就不可再重新办理。</w:t>
      </w:r>
    </w:p>
    <w:p>
      <w:pPr>
        <w:jc w:val="both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点击【</w:t>
      </w:r>
      <w:r>
        <w:drawing>
          <wp:inline distT="0" distB="0" distL="114300" distR="114300">
            <wp:extent cx="447675" cy="2762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18"/>
          <w:szCs w:val="18"/>
          <w:lang w:eastAsia="zh-CN"/>
        </w:rPr>
        <w:t>】按钮，只能修改接收地和接收单位，如下图：</w:t>
      </w:r>
    </w:p>
    <w:p>
      <w:pPr>
        <w:jc w:val="center"/>
      </w:pPr>
      <w:r>
        <w:drawing>
          <wp:inline distT="0" distB="0" distL="114300" distR="114300">
            <wp:extent cx="3931285" cy="1969770"/>
            <wp:effectExtent l="0" t="0" r="12065" b="1143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3128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  <w:lang w:val="en-US" w:eastAsia="zh-CN"/>
        </w:rPr>
        <w:t xml:space="preserve">5 </w:t>
      </w:r>
      <w:r>
        <w:rPr>
          <w:rFonts w:hint="eastAsia"/>
          <w:sz w:val="18"/>
          <w:szCs w:val="18"/>
          <w:lang w:eastAsia="zh-CN"/>
        </w:rPr>
        <w:t>团组织关系</w:t>
      </w:r>
      <w:r>
        <w:rPr>
          <w:rFonts w:hint="eastAsia"/>
          <w:sz w:val="18"/>
          <w:szCs w:val="18"/>
        </w:rPr>
        <w:t>办理</w:t>
      </w:r>
    </w:p>
    <w:p>
      <w:pPr>
        <w:jc w:val="both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然后点击【</w:t>
      </w:r>
      <w:r>
        <w:drawing>
          <wp:inline distT="0" distB="0" distL="114300" distR="114300">
            <wp:extent cx="542925" cy="34290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18"/>
          <w:szCs w:val="18"/>
          <w:lang w:eastAsia="zh-CN"/>
        </w:rPr>
        <w:t>】后，就修改成功，如下图：</w:t>
      </w:r>
    </w:p>
    <w:p>
      <w:pPr>
        <w:jc w:val="center"/>
      </w:pPr>
      <w:r>
        <w:drawing>
          <wp:inline distT="0" distB="0" distL="114300" distR="114300">
            <wp:extent cx="4315460" cy="2213610"/>
            <wp:effectExtent l="0" t="0" r="8890" b="1524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221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  <w:lang w:val="en-US" w:eastAsia="zh-CN"/>
        </w:rPr>
        <w:t xml:space="preserve">6 </w:t>
      </w:r>
      <w:r>
        <w:rPr>
          <w:rFonts w:hint="eastAsia"/>
          <w:sz w:val="18"/>
          <w:szCs w:val="18"/>
          <w:lang w:eastAsia="zh-CN"/>
        </w:rPr>
        <w:t>团组织关系</w:t>
      </w:r>
      <w:r>
        <w:rPr>
          <w:rFonts w:hint="eastAsia"/>
          <w:sz w:val="18"/>
          <w:szCs w:val="18"/>
        </w:rPr>
        <w:t>办理</w:t>
      </w:r>
    </w:p>
    <w:p>
      <w:pPr>
        <w:jc w:val="center"/>
      </w:pPr>
      <w:r>
        <w:rPr>
          <w:rFonts w:hint="eastAsia"/>
          <w:sz w:val="28"/>
          <w:szCs w:val="28"/>
          <w:lang w:val="en-US" w:eastAsia="zh-CN"/>
        </w:rPr>
        <w:t>下图中“1”是先点击学号按钮在点击【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drawing>
          <wp:inline distT="0" distB="0" distL="114300" distR="114300">
            <wp:extent cx="628650" cy="2571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】按钮，如下图：</w:t>
      </w:r>
    </w:p>
    <w:p>
      <w:pPr>
        <w:jc w:val="center"/>
      </w:pPr>
      <w:r>
        <w:drawing>
          <wp:inline distT="0" distB="0" distL="114300" distR="114300">
            <wp:extent cx="5058410" cy="2337435"/>
            <wp:effectExtent l="0" t="0" r="889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  <w:lang w:val="en-US" w:eastAsia="zh-CN"/>
        </w:rPr>
        <w:t xml:space="preserve">7 </w:t>
      </w:r>
      <w:r>
        <w:rPr>
          <w:rFonts w:hint="eastAsia"/>
          <w:sz w:val="18"/>
          <w:szCs w:val="18"/>
          <w:lang w:eastAsia="zh-CN"/>
        </w:rPr>
        <w:t>批量操作</w:t>
      </w:r>
    </w:p>
    <w:p>
      <w:pPr>
        <w:jc w:val="both"/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图中“2”，也是先点击学号前的复选框，在点击【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</w:rPr>
        <w:drawing>
          <wp:inline distT="0" distB="0" distL="114300" distR="114300">
            <wp:extent cx="628650" cy="23812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】，如下图：</w:t>
      </w:r>
    </w:p>
    <w:p>
      <w:pPr>
        <w:jc w:val="both"/>
      </w:pPr>
      <w:r>
        <w:drawing>
          <wp:inline distT="0" distB="0" distL="114300" distR="114300">
            <wp:extent cx="5268595" cy="1795145"/>
            <wp:effectExtent l="0" t="0" r="8255" b="146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9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  <w:lang w:val="en-US" w:eastAsia="zh-CN"/>
        </w:rPr>
        <w:t xml:space="preserve">8 </w:t>
      </w:r>
      <w:r>
        <w:rPr>
          <w:rFonts w:hint="eastAsia"/>
          <w:sz w:val="18"/>
          <w:szCs w:val="18"/>
          <w:lang w:eastAsia="zh-CN"/>
        </w:rPr>
        <w:t>批量操作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点击【</w:t>
      </w:r>
      <w:r>
        <w:drawing>
          <wp:inline distT="0" distB="0" distL="114300" distR="114300">
            <wp:extent cx="466725" cy="2667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】后，出现批量修改成功，点击“确定”，就成功了，如下图：</w:t>
      </w:r>
    </w:p>
    <w:p>
      <w:pPr>
        <w:jc w:val="center"/>
      </w:pPr>
      <w:r>
        <w:drawing>
          <wp:inline distT="0" distB="0" distL="114300" distR="114300">
            <wp:extent cx="2990215" cy="1762125"/>
            <wp:effectExtent l="0" t="0" r="63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  <w:lang w:val="en-US" w:eastAsia="zh-CN"/>
        </w:rPr>
        <w:t xml:space="preserve">9  </w:t>
      </w:r>
      <w:r>
        <w:rPr>
          <w:rFonts w:hint="eastAsia"/>
          <w:sz w:val="18"/>
          <w:szCs w:val="18"/>
          <w:lang w:eastAsia="zh-CN"/>
        </w:rPr>
        <w:t>批量操作</w:t>
      </w:r>
    </w:p>
    <w:p>
      <w:pPr>
        <w:jc w:val="center"/>
        <w:rPr>
          <w:rFonts w:hint="eastAsia"/>
          <w:lang w:val="en-US" w:eastAsia="zh-CN"/>
        </w:rPr>
      </w:pPr>
    </w:p>
    <w:p>
      <w:pPr>
        <w:pStyle w:val="3"/>
        <w:numPr>
          <w:ilvl w:val="1"/>
          <w:numId w:val="2"/>
        </w:numPr>
        <w:tabs>
          <w:tab w:val="left" w:pos="756"/>
        </w:tabs>
        <w:spacing w:afterLines="50" w:line="416" w:lineRule="auto"/>
        <w:jc w:val="both"/>
      </w:pPr>
      <w:r>
        <w:rPr>
          <w:rFonts w:hint="eastAsia"/>
          <w:lang w:eastAsia="zh-CN"/>
        </w:rPr>
        <w:t>统计报表</w:t>
      </w:r>
    </w:p>
    <w:p>
      <w:pPr>
        <w:ind w:firstLine="480" w:firstLineChars="200"/>
        <w:rPr>
          <w:sz w:val="24"/>
          <w:szCs w:val="24"/>
        </w:rPr>
      </w:pPr>
      <w:bookmarkStart w:id="1" w:name="_Toc385403572"/>
      <w:r>
        <w:rPr>
          <w:rFonts w:hint="eastAsia"/>
          <w:sz w:val="24"/>
          <w:szCs w:val="24"/>
        </w:rPr>
        <w:t>点击【</w:t>
      </w:r>
      <w:r>
        <w:rPr>
          <w:rFonts w:hint="eastAsia"/>
          <w:sz w:val="24"/>
          <w:szCs w:val="24"/>
        </w:rPr>
        <w:drawing>
          <wp:inline distT="0" distB="0" distL="0" distR="0">
            <wp:extent cx="647700" cy="238125"/>
            <wp:effectExtent l="0" t="0" r="0" b="9525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】菜单，进入</w:t>
      </w:r>
      <w:r>
        <w:rPr>
          <w:rFonts w:hint="eastAsia"/>
          <w:sz w:val="24"/>
          <w:szCs w:val="24"/>
          <w:lang w:eastAsia="zh-CN"/>
        </w:rPr>
        <w:t>【</w:t>
      </w:r>
      <w:r>
        <w:drawing>
          <wp:inline distT="0" distB="0" distL="114300" distR="114300">
            <wp:extent cx="657225" cy="257175"/>
            <wp:effectExtent l="0" t="0" r="952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统计报表页面，如下图：</w:t>
      </w:r>
    </w:p>
    <w:p>
      <w:pPr>
        <w:jc w:val="center"/>
      </w:pPr>
    </w:p>
    <w:p>
      <w:pPr>
        <w:jc w:val="center"/>
        <w:rPr>
          <w:sz w:val="24"/>
          <w:szCs w:val="24"/>
        </w:rPr>
      </w:pPr>
      <w:bookmarkStart w:id="2" w:name="_GoBack"/>
      <w:r>
        <w:drawing>
          <wp:inline distT="0" distB="0" distL="114300" distR="114300">
            <wp:extent cx="5269230" cy="2671445"/>
            <wp:effectExtent l="0" t="0" r="7620" b="146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bookmarkEnd w:id="2"/>
    </w:p>
    <w:p>
      <w:pPr>
        <w:jc w:val="center"/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  <w:lang w:val="en-US" w:eastAsia="zh-CN"/>
        </w:rPr>
        <w:t xml:space="preserve">8 </w:t>
      </w:r>
      <w:r>
        <w:rPr>
          <w:rFonts w:hint="eastAsia"/>
          <w:sz w:val="18"/>
          <w:szCs w:val="18"/>
        </w:rPr>
        <w:t>统计报表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左边为报表列表（依次为</w:t>
      </w:r>
      <w:r>
        <w:rPr>
          <w:rFonts w:hint="eastAsia"/>
          <w:sz w:val="24"/>
          <w:szCs w:val="24"/>
          <w:lang w:eastAsia="zh-CN"/>
        </w:rPr>
        <w:t>离校人数统计、各班级离校人数统计、</w:t>
      </w:r>
      <w:r>
        <w:rPr>
          <w:sz w:val="24"/>
          <w:szCs w:val="24"/>
        </w:rPr>
        <w:t>全校离校人数统计</w:t>
      </w:r>
      <w:r>
        <w:rPr>
          <w:rFonts w:hint="eastAsia"/>
          <w:sz w:val="24"/>
          <w:szCs w:val="24"/>
          <w:lang w:eastAsia="zh-CN"/>
        </w:rPr>
        <w:t>、全部门办理人数统计、全校院系离校人数统计、全校各专业离校人数统计、</w:t>
      </w:r>
      <w:r>
        <w:rPr>
          <w:rFonts w:hint="eastAsia"/>
          <w:sz w:val="24"/>
          <w:szCs w:val="24"/>
        </w:rPr>
        <w:t>），右边为对应的统计报表。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点击【</w:t>
      </w:r>
      <w:r>
        <w:drawing>
          <wp:inline distT="0" distB="0" distL="114300" distR="114300">
            <wp:extent cx="685800" cy="2952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>】，院系团委的办理情况和统计，如下图：</w:t>
      </w:r>
    </w:p>
    <w:p>
      <w:pPr/>
      <w:r>
        <w:drawing>
          <wp:inline distT="0" distB="0" distL="114300" distR="114300">
            <wp:extent cx="5270500" cy="2446655"/>
            <wp:effectExtent l="0" t="0" r="6350" b="1079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4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sz w:val="24"/>
          <w:szCs w:val="24"/>
        </w:rPr>
        <w:t>左边为报表列表（依次为</w:t>
      </w:r>
      <w:r>
        <w:rPr>
          <w:rFonts w:hint="eastAsia"/>
          <w:sz w:val="24"/>
          <w:szCs w:val="24"/>
          <w:lang w:eastAsia="zh-CN"/>
        </w:rPr>
        <w:t>系部办理情况统计、院系发证办理情况统计、</w:t>
      </w:r>
      <w:r>
        <w:rPr>
          <w:rFonts w:hint="eastAsia"/>
          <w:sz w:val="24"/>
          <w:szCs w:val="24"/>
        </w:rPr>
        <w:t>），右边为对应的统计报表。</w:t>
      </w:r>
    </w:p>
    <w:bookmarkEnd w:id="1"/>
    <w:p>
      <w:pPr>
        <w:pStyle w:val="3"/>
        <w:numPr>
          <w:ilvl w:val="1"/>
          <w:numId w:val="2"/>
        </w:numPr>
        <w:tabs>
          <w:tab w:val="left" w:pos="756"/>
        </w:tabs>
        <w:spacing w:afterLines="50" w:line="416" w:lineRule="auto"/>
        <w:jc w:val="both"/>
      </w:pPr>
      <w:r>
        <w:rPr>
          <w:rFonts w:hint="eastAsia"/>
          <w:lang w:eastAsia="zh-CN"/>
        </w:rPr>
        <w:t>离校公告</w:t>
      </w:r>
    </w:p>
    <w:p>
      <w:pPr>
        <w:ind w:firstLine="480" w:firstLineChars="200"/>
      </w:pPr>
      <w:r>
        <w:rPr>
          <w:rFonts w:hint="eastAsia"/>
          <w:sz w:val="24"/>
          <w:szCs w:val="24"/>
        </w:rPr>
        <w:t>点击【</w:t>
      </w:r>
      <w:r>
        <w:drawing>
          <wp:inline distT="0" distB="0" distL="114300" distR="114300">
            <wp:extent cx="904875" cy="32385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】菜单，进入统计报表页面，如下图：</w:t>
      </w:r>
    </w:p>
    <w:p>
      <w:pPr/>
      <w:r>
        <w:drawing>
          <wp:inline distT="0" distB="0" distL="114300" distR="114300">
            <wp:extent cx="5273040" cy="1276985"/>
            <wp:effectExtent l="0" t="0" r="3810" b="184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sz w:val="18"/>
          <w:szCs w:val="18"/>
        </w:rPr>
        <w:t>图表1</w:t>
      </w:r>
      <w:r>
        <w:rPr>
          <w:sz w:val="18"/>
          <w:szCs w:val="18"/>
        </w:rPr>
        <w:noBreakHyphen/>
      </w:r>
      <w:r>
        <w:rPr>
          <w:rFonts w:hint="eastAsia"/>
          <w:sz w:val="18"/>
          <w:szCs w:val="18"/>
          <w:lang w:val="en-US" w:eastAsia="zh-CN"/>
        </w:rPr>
        <w:t xml:space="preserve">9 </w:t>
      </w:r>
      <w:r>
        <w:rPr>
          <w:rFonts w:hint="eastAsia"/>
          <w:sz w:val="18"/>
          <w:szCs w:val="18"/>
          <w:lang w:eastAsia="zh-CN"/>
        </w:rPr>
        <w:t>离校公告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可以看见公告的内容、发布的时间、发布部门、发布人等信息，也可以安排发布时间进行排序。同时可查看点击排行榜。</w:t>
      </w:r>
    </w:p>
    <w:p>
      <w:pPr>
        <w:ind w:left="2940"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08304221">
    <w:nsid w:val="53F1045D"/>
    <w:multiLevelType w:val="multilevel"/>
    <w:tmpl w:val="53F1045D"/>
    <w:lvl w:ilvl="0" w:tentative="1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1">
      <w:start w:val="1"/>
      <w:numFmt w:val="decimal"/>
      <w:pStyle w:val="3"/>
      <w:lvlText w:val="%1.%2"/>
      <w:lvlJc w:val="left"/>
      <w:pPr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2" w:tentative="1">
      <w:start w:val="1"/>
      <w:numFmt w:val="decimal"/>
      <w:pStyle w:val="4"/>
      <w:lvlText w:val="%1.%2.%3"/>
      <w:lvlJc w:val="left"/>
      <w:pPr>
        <w:ind w:left="1418" w:hanging="567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3" w:tentative="1">
      <w:start w:val="1"/>
      <w:numFmt w:val="decimal"/>
      <w:pStyle w:val="5"/>
      <w:lvlText w:val="%1.%2.%3.%4"/>
      <w:lvlJc w:val="left"/>
      <w:pPr>
        <w:ind w:left="2410" w:hanging="7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4" w:tentative="1">
      <w:start w:val="1"/>
      <w:numFmt w:val="decimal"/>
      <w:pStyle w:val="6"/>
      <w:lvlText w:val="%1.%2.%3.%4.%5"/>
      <w:lvlJc w:val="left"/>
      <w:pPr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37566922">
    <w:nsid w:val="26007FCA"/>
    <w:multiLevelType w:val="multilevel"/>
    <w:tmpl w:val="26007FCA"/>
    <w:lvl w:ilvl="0" w:tentative="1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756"/>
        </w:tabs>
        <w:ind w:left="756" w:hanging="576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440"/>
        </w:tabs>
        <w:ind w:left="1000" w:hanging="1000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408304221"/>
  </w:num>
  <w:num w:numId="2">
    <w:abstractNumId w:val="6375669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EBE"/>
    <w:rsid w:val="000F2B66"/>
    <w:rsid w:val="00132FF9"/>
    <w:rsid w:val="002D3E1F"/>
    <w:rsid w:val="00310684"/>
    <w:rsid w:val="00453B23"/>
    <w:rsid w:val="00482EBE"/>
    <w:rsid w:val="005D666A"/>
    <w:rsid w:val="0065372A"/>
    <w:rsid w:val="006B09F6"/>
    <w:rsid w:val="00A23147"/>
    <w:rsid w:val="00AA7C7A"/>
    <w:rsid w:val="00B70541"/>
    <w:rsid w:val="00D54ABF"/>
    <w:rsid w:val="00DD4D02"/>
    <w:rsid w:val="00F466B6"/>
    <w:rsid w:val="00FA776F"/>
    <w:rsid w:val="0CB06B5C"/>
    <w:rsid w:val="11666B9B"/>
    <w:rsid w:val="122B77A8"/>
    <w:rsid w:val="19213D00"/>
    <w:rsid w:val="21756F70"/>
    <w:rsid w:val="28696559"/>
    <w:rsid w:val="2D300A31"/>
    <w:rsid w:val="2D593DF3"/>
    <w:rsid w:val="38E505E8"/>
    <w:rsid w:val="3B5051DE"/>
    <w:rsid w:val="3DAD2ABF"/>
    <w:rsid w:val="47520C2E"/>
    <w:rsid w:val="4A6456B7"/>
    <w:rsid w:val="5E3073B7"/>
    <w:rsid w:val="604674F2"/>
    <w:rsid w:val="685427BA"/>
    <w:rsid w:val="72596DA7"/>
    <w:rsid w:val="74494CF8"/>
    <w:rsid w:val="75843DDB"/>
    <w:rsid w:val="7FF7647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jc w:val="left"/>
      <w:outlineLvl w:val="0"/>
    </w:pPr>
    <w:rPr>
      <w:rFonts w:ascii="宋体" w:hAnsi="宋体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Cambria" w:hAnsi="Cambria" w:eastAsia="宋体" w:cs="Times New Roman"/>
      <w:b/>
      <w:bCs/>
      <w:kern w:val="0"/>
      <w:sz w:val="32"/>
      <w:szCs w:val="32"/>
    </w:rPr>
  </w:style>
  <w:style w:type="paragraph" w:styleId="4">
    <w:name w:val="heading 3"/>
    <w:basedOn w:val="3"/>
    <w:next w:val="1"/>
    <w:link w:val="20"/>
    <w:unhideWhenUsed/>
    <w:qFormat/>
    <w:uiPriority w:val="0"/>
    <w:pPr>
      <w:numPr>
        <w:ilvl w:val="2"/>
      </w:numPr>
      <w:outlineLvl w:val="2"/>
    </w:pPr>
  </w:style>
  <w:style w:type="paragraph" w:styleId="5">
    <w:name w:val="heading 4"/>
    <w:basedOn w:val="1"/>
    <w:next w:val="1"/>
    <w:link w:val="21"/>
    <w:unhideWhenUsed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Cambria" w:hAnsi="Cambria" w:eastAsia="宋体" w:cs="Times New Roman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2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jc w:val="left"/>
      <w:outlineLvl w:val="4"/>
    </w:pPr>
    <w:rPr>
      <w:rFonts w:ascii="Calibri" w:hAnsi="Calibri" w:eastAsia="宋体" w:cs="Times New Roman"/>
      <w:b/>
      <w:bCs/>
      <w:kern w:val="0"/>
      <w:sz w:val="28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0"/>
    <w:pPr>
      <w:spacing w:before="120" w:after="120"/>
    </w:pPr>
    <w:rPr>
      <w:rFonts w:ascii="Cambria" w:hAnsi="Cambria" w:eastAsia="黑体" w:cs="Times New Roman"/>
      <w:sz w:val="20"/>
      <w:szCs w:val="20"/>
    </w:rPr>
  </w:style>
  <w:style w:type="paragraph" w:styleId="8">
    <w:name w:val="Document Map"/>
    <w:basedOn w:val="1"/>
    <w:link w:val="24"/>
    <w:unhideWhenUsed/>
    <w:uiPriority w:val="99"/>
    <w:rPr>
      <w:rFonts w:ascii="宋体" w:eastAsia="宋体"/>
      <w:sz w:val="18"/>
      <w:szCs w:val="18"/>
    </w:rPr>
  </w:style>
  <w:style w:type="paragraph" w:styleId="9">
    <w:name w:val="Date"/>
    <w:basedOn w:val="1"/>
    <w:next w:val="1"/>
    <w:link w:val="25"/>
    <w:unhideWhenUsed/>
    <w:uiPriority w:val="99"/>
    <w:pPr>
      <w:ind w:left="100" w:leftChars="2500"/>
    </w:pPr>
  </w:style>
  <w:style w:type="paragraph" w:styleId="10">
    <w:name w:val="Balloon Text"/>
    <w:basedOn w:val="1"/>
    <w:link w:val="23"/>
    <w:unhideWhenUsed/>
    <w:uiPriority w:val="99"/>
    <w:rPr>
      <w:sz w:val="18"/>
      <w:szCs w:val="18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Hyperlink"/>
    <w:basedOn w:val="13"/>
    <w:uiPriority w:val="99"/>
    <w:rPr>
      <w:color w:val="0000FF"/>
      <w:u w:val="single"/>
    </w:rPr>
  </w:style>
  <w:style w:type="character" w:customStyle="1" w:styleId="16">
    <w:name w:val="页眉 Char"/>
    <w:basedOn w:val="13"/>
    <w:link w:val="12"/>
    <w:semiHidden/>
    <w:uiPriority w:val="99"/>
    <w:rPr>
      <w:sz w:val="18"/>
      <w:szCs w:val="18"/>
    </w:rPr>
  </w:style>
  <w:style w:type="character" w:customStyle="1" w:styleId="17">
    <w:name w:val="页脚 Char"/>
    <w:basedOn w:val="13"/>
    <w:link w:val="11"/>
    <w:semiHidden/>
    <w:uiPriority w:val="99"/>
    <w:rPr>
      <w:sz w:val="18"/>
      <w:szCs w:val="18"/>
    </w:rPr>
  </w:style>
  <w:style w:type="character" w:customStyle="1" w:styleId="18">
    <w:name w:val="标题 1 Char"/>
    <w:basedOn w:val="13"/>
    <w:link w:val="2"/>
    <w:qFormat/>
    <w:uiPriority w:val="0"/>
    <w:rPr>
      <w:rFonts w:ascii="宋体" w:hAnsi="宋体" w:eastAsia="宋体" w:cs="Times New Roman"/>
      <w:b/>
      <w:bCs/>
      <w:kern w:val="44"/>
      <w:sz w:val="44"/>
      <w:szCs w:val="44"/>
    </w:rPr>
  </w:style>
  <w:style w:type="character" w:customStyle="1" w:styleId="19">
    <w:name w:val="标题 2 Char"/>
    <w:basedOn w:val="13"/>
    <w:link w:val="3"/>
    <w:uiPriority w:val="0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0">
    <w:name w:val="标题 3 Char"/>
    <w:basedOn w:val="13"/>
    <w:link w:val="4"/>
    <w:qFormat/>
    <w:uiPriority w:val="0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1">
    <w:name w:val="标题 4 Char"/>
    <w:basedOn w:val="13"/>
    <w:link w:val="5"/>
    <w:uiPriority w:val="0"/>
    <w:rPr>
      <w:rFonts w:ascii="Cambria" w:hAnsi="Cambria" w:eastAsia="宋体" w:cs="Times New Roman"/>
      <w:b/>
      <w:bCs/>
      <w:kern w:val="0"/>
      <w:sz w:val="28"/>
      <w:szCs w:val="28"/>
    </w:rPr>
  </w:style>
  <w:style w:type="character" w:customStyle="1" w:styleId="22">
    <w:name w:val="标题 5 Char"/>
    <w:basedOn w:val="13"/>
    <w:link w:val="6"/>
    <w:qFormat/>
    <w:uiPriority w:val="0"/>
    <w:rPr>
      <w:rFonts w:ascii="Calibri" w:hAnsi="Calibri" w:eastAsia="宋体" w:cs="Times New Roman"/>
      <w:b/>
      <w:bCs/>
      <w:kern w:val="0"/>
      <w:sz w:val="28"/>
      <w:szCs w:val="28"/>
    </w:rPr>
  </w:style>
  <w:style w:type="character" w:customStyle="1" w:styleId="23">
    <w:name w:val="批注框文本 Char"/>
    <w:basedOn w:val="13"/>
    <w:link w:val="10"/>
    <w:semiHidden/>
    <w:qFormat/>
    <w:uiPriority w:val="99"/>
    <w:rPr>
      <w:sz w:val="18"/>
      <w:szCs w:val="18"/>
    </w:rPr>
  </w:style>
  <w:style w:type="character" w:customStyle="1" w:styleId="24">
    <w:name w:val="文档结构图 Char"/>
    <w:basedOn w:val="13"/>
    <w:link w:val="8"/>
    <w:semiHidden/>
    <w:uiPriority w:val="99"/>
    <w:rPr>
      <w:rFonts w:ascii="宋体" w:eastAsia="宋体"/>
      <w:sz w:val="18"/>
      <w:szCs w:val="18"/>
    </w:rPr>
  </w:style>
  <w:style w:type="character" w:customStyle="1" w:styleId="25">
    <w:name w:val="日期 Char"/>
    <w:basedOn w:val="13"/>
    <w:link w:val="9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jpe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12</Pages>
  <Words>366</Words>
  <Characters>2091</Characters>
  <Lines>17</Lines>
  <Paragraphs>4</Paragraphs>
  <ScaleCrop>false</ScaleCrop>
  <LinksUpToDate>false</LinksUpToDate>
  <CharactersWithSpaces>2453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2014-05-25T08:34:00Z</dcterms:created>
  <dc:creator>刘裕平</dc:creator>
  <cp:lastModifiedBy>Administrator</cp:lastModifiedBy>
  <dcterms:modified xsi:type="dcterms:W3CDTF">2016-05-20T06:58:04Z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